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B" w:rsidRDefault="00A863DB" w:rsidP="00A863DB">
      <w:pPr>
        <w:spacing w:after="0" w:line="240" w:lineRule="auto"/>
        <w:rPr>
          <w:rFonts w:cstheme="minorHAnsi"/>
          <w:b/>
          <w:bCs/>
          <w:color w:val="0068A5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color w:val="0068A5"/>
          <w:sz w:val="28"/>
          <w:szCs w:val="28"/>
        </w:rPr>
        <w:t>2016 Cold and Flu Season Communications Toolkit for Healthcare Providers</w:t>
      </w:r>
    </w:p>
    <w:p w:rsidR="00A863DB" w:rsidRPr="00FC1A2E" w:rsidRDefault="00A863DB" w:rsidP="00A863D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A863DB" w:rsidRDefault="00A863DB" w:rsidP="00A863DB">
      <w:pPr>
        <w:spacing w:after="0" w:line="240" w:lineRule="auto"/>
        <w:rPr>
          <w:rFonts w:cstheme="minorHAnsi"/>
          <w:b/>
          <w:bCs/>
          <w:color w:val="59A4BB"/>
          <w:sz w:val="24"/>
          <w:szCs w:val="24"/>
        </w:rPr>
      </w:pPr>
      <w:r>
        <w:rPr>
          <w:rFonts w:cstheme="minorHAnsi"/>
          <w:b/>
          <w:bCs/>
          <w:color w:val="59A4BB"/>
          <w:sz w:val="24"/>
          <w:szCs w:val="24"/>
        </w:rPr>
        <w:t xml:space="preserve">Content for Twitter and Facebook </w:t>
      </w:r>
    </w:p>
    <w:p w:rsidR="00A863DB" w:rsidRPr="00FC1A2E" w:rsidRDefault="00A863DB" w:rsidP="00A863DB">
      <w:pPr>
        <w:spacing w:after="0" w:line="240" w:lineRule="auto"/>
        <w:rPr>
          <w:rFonts w:cstheme="minorHAnsi"/>
          <w:b/>
          <w:bCs/>
          <w:color w:val="59A4BB"/>
          <w:sz w:val="20"/>
          <w:szCs w:val="20"/>
        </w:rPr>
      </w:pPr>
    </w:p>
    <w:p w:rsidR="00A863DB" w:rsidRDefault="00A863DB" w:rsidP="00A863DB">
      <w:pPr>
        <w:spacing w:after="0" w:line="240" w:lineRule="auto"/>
        <w:rPr>
          <w:rFonts w:cstheme="minorHAnsi"/>
          <w:b/>
          <w:bCs/>
          <w:color w:val="59A4BB"/>
        </w:rPr>
      </w:pPr>
      <w:r>
        <w:rPr>
          <w:rFonts w:cstheme="minorHAnsi"/>
          <w:b/>
          <w:bCs/>
          <w:color w:val="59A4BB"/>
        </w:rPr>
        <w:t>Thumbnail graphics are for reference only</w:t>
      </w:r>
      <w:r>
        <w:rPr>
          <w:rFonts w:cstheme="minorHAnsi"/>
          <w:b/>
          <w:bCs/>
          <w:i/>
          <w:color w:val="59A4BB"/>
        </w:rPr>
        <w:t xml:space="preserve">. </w:t>
      </w:r>
      <w:r>
        <w:rPr>
          <w:rFonts w:cstheme="minorHAnsi"/>
          <w:b/>
          <w:bCs/>
          <w:color w:val="59A4BB"/>
        </w:rPr>
        <w:t xml:space="preserve">All graphics are available for download at this link: </w:t>
      </w:r>
      <w:hyperlink r:id="rId8" w:history="1">
        <w:r w:rsidR="007A7F95" w:rsidRPr="008D5436">
          <w:rPr>
            <w:rStyle w:val="Hyperlink"/>
            <w:rFonts w:cstheme="minorHAnsi"/>
            <w:b/>
            <w:bCs/>
          </w:rPr>
          <w:t>https://gmmb.box.com/s/fwx6yih2390vo5fgd6dy6abj7yp3vwve</w:t>
        </w:r>
      </w:hyperlink>
      <w:r w:rsidR="007A7F95">
        <w:rPr>
          <w:rFonts w:cstheme="minorHAnsi"/>
          <w:b/>
          <w:bCs/>
          <w:color w:val="59A4BB"/>
        </w:rPr>
        <w:t xml:space="preserve"> </w:t>
      </w:r>
    </w:p>
    <w:p w:rsidR="00CD6CC5" w:rsidRPr="00CD6CC5" w:rsidRDefault="00CD6CC5" w:rsidP="00A863DB">
      <w:pPr>
        <w:spacing w:after="0" w:line="240" w:lineRule="auto"/>
        <w:rPr>
          <w:rFonts w:cstheme="minorHAnsi"/>
          <w:bCs/>
          <w:color w:val="59A4BB"/>
        </w:rPr>
      </w:pPr>
    </w:p>
    <w:tbl>
      <w:tblPr>
        <w:tblStyle w:val="LightGrid-Accent5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2969"/>
        <w:gridCol w:w="6300"/>
      </w:tblGrid>
      <w:tr w:rsidR="00A863DB" w:rsidTr="00C26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A863DB" w:rsidRPr="004F29D0" w:rsidRDefault="00A863DB" w:rsidP="00C2626C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4F29D0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Social Channel </w:t>
            </w:r>
          </w:p>
        </w:tc>
        <w:tc>
          <w:tcPr>
            <w:tcW w:w="2969" w:type="dxa"/>
            <w:hideMark/>
          </w:tcPr>
          <w:p w:rsidR="00A863DB" w:rsidRDefault="00A863DB" w:rsidP="00C262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Graphic</w:t>
            </w:r>
          </w:p>
        </w:tc>
        <w:tc>
          <w:tcPr>
            <w:tcW w:w="6300" w:type="dxa"/>
            <w:hideMark/>
          </w:tcPr>
          <w:p w:rsidR="00A863DB" w:rsidRDefault="00A863DB" w:rsidP="00C262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Text</w:t>
            </w:r>
          </w:p>
        </w:tc>
      </w:tr>
      <w:tr w:rsidR="00A863DB" w:rsidTr="00C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A863DB" w:rsidRPr="004F29D0" w:rsidRDefault="00A863DB" w:rsidP="00C262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Twitter</w:t>
            </w:r>
          </w:p>
        </w:tc>
        <w:tc>
          <w:tcPr>
            <w:tcW w:w="2969" w:type="dxa"/>
            <w:hideMark/>
          </w:tcPr>
          <w:p w:rsidR="00A863DB" w:rsidRDefault="007A7F95" w:rsidP="00C2626C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4030" cy="9927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rMaterials-Faceboo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76" cy="9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A863DB" w:rsidRPr="00CB1E02" w:rsidRDefault="00986F40" w:rsidP="00CB1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86F40">
              <w:rPr>
                <w:rFonts w:cstheme="minorHAnsi"/>
                <w:bCs/>
              </w:rPr>
              <w:t xml:space="preserve">This flu season, @KnowYourDose wants to help you talk with your patients about acetaminophen safe use: </w:t>
            </w:r>
            <w:hyperlink r:id="rId10" w:history="1">
              <w:r w:rsidRPr="008D5436">
                <w:rPr>
                  <w:rStyle w:val="Hyperlink"/>
                  <w:rFonts w:cstheme="minorHAnsi"/>
                  <w:bCs/>
                </w:rPr>
                <w:t>http://bit.ly/KYD-order</w:t>
              </w:r>
            </w:hyperlink>
            <w:r>
              <w:rPr>
                <w:rFonts w:cstheme="minorHAnsi"/>
                <w:bCs/>
              </w:rPr>
              <w:t xml:space="preserve"> 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</w:tc>
      </w:tr>
      <w:tr w:rsidR="00A863DB" w:rsidTr="00C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A863DB" w:rsidRPr="004F29D0" w:rsidRDefault="00A863DB" w:rsidP="00C2626C">
            <w:pPr>
              <w:rPr>
                <w:rFonts w:cstheme="minorHAnsi"/>
                <w:sz w:val="20"/>
                <w:szCs w:val="20"/>
              </w:rPr>
            </w:pPr>
            <w:r w:rsidRPr="002418DB">
              <w:rPr>
                <w:rFonts w:asciiTheme="minorHAnsi" w:hAnsiTheme="minorHAnsi" w:cstheme="minorHAnsi"/>
                <w:b w:val="0"/>
                <w:sz w:val="20"/>
                <w:szCs w:val="20"/>
              </w:rPr>
              <w:t>Facebook</w:t>
            </w:r>
          </w:p>
        </w:tc>
        <w:tc>
          <w:tcPr>
            <w:tcW w:w="2969" w:type="dxa"/>
          </w:tcPr>
          <w:p w:rsidR="00A863DB" w:rsidRDefault="007A7F95" w:rsidP="00C2626C">
            <w:pPr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31FAE6" wp14:editId="7F7308B7">
                  <wp:extent cx="1894030" cy="9927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rMaterials-Faceboo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76" cy="9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A863DB" w:rsidRPr="00021017" w:rsidRDefault="00986F40" w:rsidP="009471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86F40">
              <w:rPr>
                <w:rFonts w:cstheme="minorHAnsi"/>
                <w:bCs/>
              </w:rPr>
              <w:t xml:space="preserve">This cold and flu season, join the </w:t>
            </w:r>
            <w:r w:rsidR="0094713E">
              <w:rPr>
                <w:rFonts w:cstheme="minorHAnsi"/>
                <w:bCs/>
              </w:rPr>
              <w:t>Know Your Dose campaign</w:t>
            </w:r>
            <w:r w:rsidRPr="00986F40">
              <w:rPr>
                <w:rFonts w:cstheme="minorHAnsi"/>
                <w:bCs/>
              </w:rPr>
              <w:t xml:space="preserve"> as we talk with our patients about </w:t>
            </w:r>
            <w:r>
              <w:rPr>
                <w:rFonts w:cstheme="minorHAnsi"/>
                <w:bCs/>
              </w:rPr>
              <w:t xml:space="preserve">safely using medicines containing </w:t>
            </w:r>
            <w:r w:rsidRPr="00986F40">
              <w:rPr>
                <w:rFonts w:cstheme="minorHAnsi"/>
                <w:bCs/>
              </w:rPr>
              <w:t>acetaminophen</w:t>
            </w:r>
            <w:r>
              <w:rPr>
                <w:rFonts w:cstheme="minorHAnsi"/>
                <w:bCs/>
              </w:rPr>
              <w:t xml:space="preserve">: </w:t>
            </w:r>
            <w:hyperlink r:id="rId11" w:history="1">
              <w:r w:rsidRPr="008D5436">
                <w:rPr>
                  <w:rStyle w:val="Hyperlink"/>
                  <w:rFonts w:cstheme="minorHAnsi"/>
                  <w:bCs/>
                </w:rPr>
                <w:t>http://bit.ly/KYD-order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</w:tc>
      </w:tr>
      <w:tr w:rsidR="00A863DB" w:rsidTr="00C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A863DB" w:rsidRPr="004F29D0" w:rsidRDefault="00A863DB" w:rsidP="00C262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F29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Twitter </w:t>
            </w:r>
          </w:p>
        </w:tc>
        <w:tc>
          <w:tcPr>
            <w:tcW w:w="2969" w:type="dxa"/>
            <w:hideMark/>
          </w:tcPr>
          <w:p w:rsidR="00A863DB" w:rsidRDefault="00A863DB" w:rsidP="00C2626C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7EE8701A" wp14:editId="36219580">
                  <wp:extent cx="1847850" cy="92289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600otc-t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2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A863DB" w:rsidRDefault="00570D3C" w:rsidP="00C2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570D3C">
              <w:rPr>
                <w:rFonts w:cstheme="minorHAnsi"/>
                <w:bCs/>
              </w:rPr>
              <w:t>Show this meds list to patients so they don't accidentally double up on acetaminophen in cold/fl</w:t>
            </w:r>
            <w:r>
              <w:rPr>
                <w:rFonts w:cstheme="minorHAnsi"/>
                <w:bCs/>
              </w:rPr>
              <w:t xml:space="preserve">u meds: </w:t>
            </w:r>
            <w:hyperlink r:id="rId13" w:history="1">
              <w:r w:rsidRPr="008D5436">
                <w:rPr>
                  <w:rStyle w:val="Hyperlink"/>
                  <w:rFonts w:cstheme="minorHAnsi"/>
                  <w:bCs/>
                </w:rPr>
                <w:t>http://bit.ly/comm-meds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Pr="00570D3C">
              <w:rPr>
                <w:rFonts w:cstheme="minorHAnsi"/>
                <w:bCs/>
              </w:rPr>
              <w:t>#KYDcoldflu</w:t>
            </w:r>
          </w:p>
        </w:tc>
      </w:tr>
      <w:tr w:rsidR="00A863DB" w:rsidTr="00C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A863DB" w:rsidRPr="007A7F95" w:rsidRDefault="00A863DB" w:rsidP="00C2626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F29D0">
              <w:rPr>
                <w:rFonts w:asciiTheme="minorHAnsi" w:hAnsiTheme="minorHAnsi" w:cstheme="minorHAnsi"/>
                <w:b w:val="0"/>
                <w:sz w:val="20"/>
                <w:szCs w:val="20"/>
              </w:rPr>
              <w:t>Facebook</w:t>
            </w:r>
          </w:p>
        </w:tc>
        <w:tc>
          <w:tcPr>
            <w:tcW w:w="2969" w:type="dxa"/>
          </w:tcPr>
          <w:p w:rsidR="00A863DB" w:rsidRDefault="00A863DB" w:rsidP="00C2626C">
            <w:pPr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1FEAF9BD" wp14:editId="147B8F5F">
                  <wp:extent cx="1847850" cy="92289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600otc-t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45" cy="9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CD6CC5" w:rsidRDefault="00E0567B" w:rsidP="00CD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59A4BB"/>
              </w:rPr>
            </w:pPr>
            <w:r w:rsidRPr="00E0567B">
              <w:rPr>
                <w:rFonts w:cstheme="minorHAnsi"/>
                <w:bCs/>
              </w:rPr>
              <w:t xml:space="preserve">Share this list of medicines with your patients to help them avoid accidentally doubling up on doses of acetaminophen </w:t>
            </w:r>
            <w:r>
              <w:rPr>
                <w:rFonts w:cstheme="minorHAnsi"/>
                <w:bCs/>
              </w:rPr>
              <w:t xml:space="preserve">when taking multiple medicines </w:t>
            </w:r>
            <w:r w:rsidRPr="00E0567B">
              <w:rPr>
                <w:rFonts w:cstheme="minorHAnsi"/>
                <w:bCs/>
              </w:rPr>
              <w:t xml:space="preserve">during cold and flu season: </w:t>
            </w:r>
            <w:hyperlink r:id="rId14" w:history="1">
              <w:r w:rsidR="00CD6CC5" w:rsidRPr="008D5436">
                <w:rPr>
                  <w:rStyle w:val="Hyperlink"/>
                  <w:rFonts w:cstheme="minorHAnsi"/>
                  <w:bCs/>
                </w:rPr>
                <w:t>http://bit.ly/comm-meds</w:t>
              </w:r>
            </w:hyperlink>
            <w:r w:rsidR="00CD6CC5">
              <w:rPr>
                <w:rFonts w:cstheme="minorHAnsi"/>
                <w:bCs/>
                <w:color w:val="59A4BB"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  <w:p w:rsidR="00A863DB" w:rsidRDefault="00A863DB" w:rsidP="00C26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7F95" w:rsidTr="00C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7A7F95" w:rsidRPr="007A7F95" w:rsidRDefault="007A7F95" w:rsidP="00C2626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A7F95">
              <w:rPr>
                <w:rFonts w:asciiTheme="minorHAnsi" w:hAnsiTheme="minorHAnsi" w:cstheme="minorHAnsi"/>
                <w:b w:val="0"/>
                <w:sz w:val="20"/>
                <w:szCs w:val="20"/>
              </w:rPr>
              <w:t>Twitter</w:t>
            </w:r>
          </w:p>
        </w:tc>
        <w:tc>
          <w:tcPr>
            <w:tcW w:w="2969" w:type="dxa"/>
          </w:tcPr>
          <w:p w:rsidR="007A7F95" w:rsidRDefault="007A7F95" w:rsidP="00C2626C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86586" cy="943636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d Patients to Take Only One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85" cy="94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7A7F95" w:rsidRDefault="00570D3C" w:rsidP="00CE2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570D3C">
              <w:rPr>
                <w:rFonts w:cstheme="minorHAnsi"/>
                <w:bCs/>
              </w:rPr>
              <w:t>65% of people don't consider OTC meds they take when choosing an OTC pain reliever</w:t>
            </w:r>
            <w:r w:rsidR="00CE2C3E">
              <w:rPr>
                <w:rFonts w:cstheme="minorHAnsi"/>
                <w:bCs/>
              </w:rPr>
              <w:t>—</w:t>
            </w:r>
            <w:r w:rsidRPr="00570D3C">
              <w:rPr>
                <w:rFonts w:cstheme="minorHAnsi"/>
                <w:bCs/>
              </w:rPr>
              <w:t>your</w:t>
            </w:r>
            <w:r w:rsidR="00CE2C3E">
              <w:rPr>
                <w:rFonts w:cstheme="minorHAnsi"/>
                <w:bCs/>
              </w:rPr>
              <w:t xml:space="preserve"> </w:t>
            </w:r>
            <w:r w:rsidRPr="00570D3C">
              <w:rPr>
                <w:rFonts w:cstheme="minorHAnsi"/>
                <w:bCs/>
              </w:rPr>
              <w:t>patients shou</w:t>
            </w:r>
            <w:r w:rsidR="00CE2C3E">
              <w:rPr>
                <w:rFonts w:cstheme="minorHAnsi"/>
                <w:bCs/>
              </w:rPr>
              <w:t xml:space="preserve">ld: </w:t>
            </w:r>
            <w:hyperlink r:id="rId16" w:history="1">
              <w:r w:rsidR="00CE2C3E" w:rsidRPr="008D5436">
                <w:rPr>
                  <w:rStyle w:val="Hyperlink"/>
                  <w:rFonts w:cstheme="minorHAnsi"/>
                  <w:bCs/>
                </w:rPr>
                <w:t>http://bit.ly/KYD-providers</w:t>
              </w:r>
            </w:hyperlink>
            <w:r w:rsidR="00CE2C3E">
              <w:rPr>
                <w:rFonts w:cstheme="minorHAnsi"/>
                <w:bCs/>
              </w:rPr>
              <w:t xml:space="preserve"> </w:t>
            </w:r>
            <w:r w:rsidRPr="00570D3C">
              <w:rPr>
                <w:rFonts w:cstheme="minorHAnsi"/>
                <w:bCs/>
              </w:rPr>
              <w:t>#KYDcoldflu</w:t>
            </w:r>
          </w:p>
        </w:tc>
      </w:tr>
      <w:tr w:rsidR="007A7F95" w:rsidTr="00C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7A7F95" w:rsidRPr="009436E1" w:rsidRDefault="007A7F95" w:rsidP="00C2626C">
            <w:pPr>
              <w:rPr>
                <w:rFonts w:cstheme="minorHAnsi"/>
                <w:b w:val="0"/>
                <w:sz w:val="20"/>
                <w:szCs w:val="20"/>
              </w:rPr>
            </w:pPr>
            <w:r w:rsidRPr="007A7F95">
              <w:rPr>
                <w:rFonts w:asciiTheme="minorHAnsi" w:hAnsiTheme="minorHAnsi" w:cstheme="minorHAnsi"/>
                <w:b w:val="0"/>
                <w:sz w:val="20"/>
                <w:szCs w:val="20"/>
              </w:rPr>
              <w:t>Facebook</w:t>
            </w:r>
          </w:p>
        </w:tc>
        <w:tc>
          <w:tcPr>
            <w:tcW w:w="2969" w:type="dxa"/>
          </w:tcPr>
          <w:p w:rsidR="007A7F95" w:rsidRDefault="007A7F95" w:rsidP="00C2626C">
            <w:pPr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B08243" wp14:editId="5F81FEB5">
                  <wp:extent cx="1886586" cy="943636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d Patients to Take Only One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85" cy="94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7A7F95" w:rsidRDefault="004A3F2C" w:rsidP="00CE2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A3F2C">
              <w:rPr>
                <w:rFonts w:cstheme="minorHAnsi"/>
                <w:bCs/>
              </w:rPr>
              <w:t xml:space="preserve">65% of </w:t>
            </w:r>
            <w:r w:rsidR="00CE2C3E">
              <w:rPr>
                <w:rFonts w:cstheme="minorHAnsi"/>
                <w:bCs/>
              </w:rPr>
              <w:t>people</w:t>
            </w:r>
            <w:r w:rsidRPr="004A3F2C">
              <w:rPr>
                <w:rFonts w:cstheme="minorHAnsi"/>
                <w:bCs/>
              </w:rPr>
              <w:t xml:space="preserve"> don't c</w:t>
            </w:r>
            <w:r>
              <w:rPr>
                <w:rFonts w:cstheme="minorHAnsi"/>
                <w:bCs/>
              </w:rPr>
              <w:t>onsider other OTC medicines</w:t>
            </w:r>
            <w:r w:rsidRPr="004A3F2C">
              <w:rPr>
                <w:rFonts w:cstheme="minorHAnsi"/>
                <w:bCs/>
              </w:rPr>
              <w:t xml:space="preserve"> they</w:t>
            </w:r>
            <w:r>
              <w:rPr>
                <w:rFonts w:cstheme="minorHAnsi"/>
                <w:bCs/>
              </w:rPr>
              <w:t>’re taking</w:t>
            </w:r>
            <w:r w:rsidRPr="004A3F2C">
              <w:rPr>
                <w:rFonts w:cstheme="minorHAnsi"/>
                <w:bCs/>
              </w:rPr>
              <w:t xml:space="preserve"> when </w:t>
            </w:r>
            <w:r>
              <w:rPr>
                <w:rFonts w:cstheme="minorHAnsi"/>
                <w:bCs/>
              </w:rPr>
              <w:t xml:space="preserve">they’re </w:t>
            </w:r>
            <w:r w:rsidRPr="004A3F2C">
              <w:rPr>
                <w:rFonts w:cstheme="minorHAnsi"/>
                <w:bCs/>
              </w:rPr>
              <w:t xml:space="preserve">choosing an OTC pain reliever. </w:t>
            </w:r>
            <w:r>
              <w:rPr>
                <w:rFonts w:cstheme="minorHAnsi"/>
                <w:bCs/>
              </w:rPr>
              <w:t xml:space="preserve">It’s important to talk with </w:t>
            </w:r>
            <w:r w:rsidRPr="004A3F2C">
              <w:rPr>
                <w:rFonts w:cstheme="minorHAnsi"/>
                <w:bCs/>
              </w:rPr>
              <w:t>your patients</w:t>
            </w:r>
            <w:r>
              <w:rPr>
                <w:rFonts w:cstheme="minorHAnsi"/>
                <w:bCs/>
              </w:rPr>
              <w:t xml:space="preserve"> about this if they come down with a cold or the flu</w:t>
            </w:r>
            <w:r w:rsidRPr="004A3F2C">
              <w:rPr>
                <w:rFonts w:cstheme="minorHAnsi"/>
                <w:bCs/>
              </w:rPr>
              <w:t xml:space="preserve">: </w:t>
            </w:r>
            <w:hyperlink r:id="rId17" w:history="1">
              <w:r w:rsidRPr="008D5436">
                <w:rPr>
                  <w:rStyle w:val="Hyperlink"/>
                  <w:rFonts w:cstheme="minorHAnsi"/>
                  <w:bCs/>
                </w:rPr>
                <w:t>http://bit.ly/KYD-providers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</w:tc>
      </w:tr>
      <w:tr w:rsidR="00EC16E3" w:rsidTr="00C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EC16E3" w:rsidRPr="004F29D0" w:rsidRDefault="00EC16E3" w:rsidP="00C262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F29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Twitter </w:t>
            </w:r>
          </w:p>
        </w:tc>
        <w:tc>
          <w:tcPr>
            <w:tcW w:w="2969" w:type="dxa"/>
            <w:hideMark/>
          </w:tcPr>
          <w:p w:rsidR="00EC16E3" w:rsidRDefault="00EC16E3" w:rsidP="00C2626C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6FD003" wp14:editId="1E8BBDC3">
                  <wp:extent cx="1894030" cy="9927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dYourPatients-Faceboo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76" cy="9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EC16E3" w:rsidRDefault="0043285A" w:rsidP="00005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3285A">
              <w:rPr>
                <w:rFonts w:cstheme="minorHAnsi"/>
                <w:bCs/>
              </w:rPr>
              <w:t>It’s a</w:t>
            </w:r>
            <w:r w:rsidR="000058AA">
              <w:rPr>
                <w:rFonts w:cstheme="minorHAnsi"/>
                <w:bCs/>
              </w:rPr>
              <w:t xml:space="preserve"> great </w:t>
            </w:r>
            <w:r w:rsidRPr="0043285A">
              <w:rPr>
                <w:rFonts w:cstheme="minorHAnsi"/>
                <w:bCs/>
              </w:rPr>
              <w:t xml:space="preserve">time of year to stock up </w:t>
            </w:r>
            <w:r w:rsidR="000058AA">
              <w:rPr>
                <w:rFonts w:cstheme="minorHAnsi"/>
                <w:bCs/>
              </w:rPr>
              <w:t xml:space="preserve">on patient education materials about </w:t>
            </w:r>
            <w:r w:rsidRPr="0043285A">
              <w:rPr>
                <w:rFonts w:cstheme="minorHAnsi"/>
                <w:bCs/>
              </w:rPr>
              <w:t xml:space="preserve">acetaminophen safe use: </w:t>
            </w:r>
            <w:hyperlink r:id="rId19" w:history="1">
              <w:r w:rsidRPr="008D5436">
                <w:rPr>
                  <w:rStyle w:val="Hyperlink"/>
                  <w:rFonts w:cstheme="minorHAnsi"/>
                  <w:bCs/>
                </w:rPr>
                <w:t>http://bit.ly/KYD-order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</w:tc>
      </w:tr>
      <w:tr w:rsidR="00EC16E3" w:rsidTr="00C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EC16E3" w:rsidRPr="004F29D0" w:rsidRDefault="00EC16E3" w:rsidP="00C262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F29D0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Facebook</w:t>
            </w:r>
          </w:p>
        </w:tc>
        <w:tc>
          <w:tcPr>
            <w:tcW w:w="2969" w:type="dxa"/>
            <w:hideMark/>
          </w:tcPr>
          <w:p w:rsidR="00EC16E3" w:rsidRDefault="00EC16E3" w:rsidP="00C2626C">
            <w:pPr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B9DEE" wp14:editId="5CE6A739">
                  <wp:extent cx="1894030" cy="99276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dYourPatients-Faceboo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76" cy="9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EC16E3" w:rsidRDefault="0043285A" w:rsidP="00C26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59A4BB"/>
              </w:rPr>
            </w:pPr>
            <w:r w:rsidRPr="0043285A">
              <w:rPr>
                <w:rFonts w:cstheme="minorHAnsi"/>
                <w:bCs/>
              </w:rPr>
              <w:t>With peak flu season on the horizon, it’s a</w:t>
            </w:r>
            <w:r w:rsidR="000058AA">
              <w:rPr>
                <w:rFonts w:cstheme="minorHAnsi"/>
                <w:bCs/>
              </w:rPr>
              <w:t xml:space="preserve"> great </w:t>
            </w:r>
            <w:r w:rsidRPr="0043285A">
              <w:rPr>
                <w:rFonts w:cstheme="minorHAnsi"/>
                <w:bCs/>
              </w:rPr>
              <w:t xml:space="preserve">time of year to stock up on patient education materials </w:t>
            </w:r>
            <w:r>
              <w:rPr>
                <w:rFonts w:cstheme="minorHAnsi"/>
                <w:bCs/>
              </w:rPr>
              <w:t>about acetaminophen</w:t>
            </w:r>
            <w:r w:rsidRPr="0043285A">
              <w:rPr>
                <w:rFonts w:cstheme="minorHAnsi"/>
                <w:bCs/>
              </w:rPr>
              <w:t xml:space="preserve">: </w:t>
            </w:r>
            <w:hyperlink r:id="rId20" w:history="1">
              <w:r w:rsidR="00EC16E3" w:rsidRPr="008D5436">
                <w:rPr>
                  <w:rStyle w:val="Hyperlink"/>
                  <w:rFonts w:cstheme="minorHAnsi"/>
                  <w:bCs/>
                </w:rPr>
                <w:t>http://bit.ly/KYD-order</w:t>
              </w:r>
            </w:hyperlink>
            <w:r w:rsidR="00EC16E3">
              <w:rPr>
                <w:rFonts w:cstheme="minorHAnsi"/>
                <w:bCs/>
                <w:color w:val="59A4BB"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  <w:p w:rsidR="00EC16E3" w:rsidRDefault="00EC16E3" w:rsidP="00C26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16E3" w:rsidTr="00C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EC16E3" w:rsidRPr="004F29D0" w:rsidRDefault="00EC16E3" w:rsidP="00C262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F29D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Twitter </w:t>
            </w:r>
          </w:p>
        </w:tc>
        <w:tc>
          <w:tcPr>
            <w:tcW w:w="2969" w:type="dxa"/>
            <w:hideMark/>
          </w:tcPr>
          <w:p w:rsidR="00EC16E3" w:rsidRDefault="00EC16E3" w:rsidP="00C2626C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0492C3B9" wp14:editId="0D6B38AC">
                  <wp:extent cx="1914526" cy="9561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exceeddose-tw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6" cy="95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hideMark/>
          </w:tcPr>
          <w:p w:rsidR="00EC16E3" w:rsidRDefault="0043285A" w:rsidP="00C2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59A4BB"/>
              </w:rPr>
            </w:pPr>
            <w:r w:rsidRPr="0043285A">
              <w:rPr>
                <w:rFonts w:cstheme="minorHAnsi"/>
                <w:bCs/>
              </w:rPr>
              <w:t xml:space="preserve">You’ve heard them before. Here's how to help patients avoid these common acetaminophen dosing pitfalls: </w:t>
            </w:r>
            <w:hyperlink r:id="rId22" w:history="1">
              <w:r w:rsidRPr="008D5436">
                <w:rPr>
                  <w:rStyle w:val="Hyperlink"/>
                  <w:rFonts w:cstheme="minorHAnsi"/>
                  <w:bCs/>
                </w:rPr>
                <w:t>http://bit.ly/KYD-providers</w:t>
              </w:r>
            </w:hyperlink>
            <w:r>
              <w:rPr>
                <w:rFonts w:cstheme="minorHAnsi"/>
                <w:bCs/>
                <w:color w:val="59A4BB"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  <w:r w:rsidR="00EC16E3" w:rsidRPr="00CD6CC5">
              <w:rPr>
                <w:rFonts w:cstheme="minorHAnsi"/>
                <w:bCs/>
                <w:color w:val="59A4BB"/>
              </w:rPr>
              <w:t xml:space="preserve"> </w:t>
            </w:r>
          </w:p>
          <w:p w:rsidR="00EC16E3" w:rsidRDefault="00EC16E3" w:rsidP="00C2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16E3" w:rsidTr="00C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EC16E3" w:rsidRPr="004F29D0" w:rsidRDefault="00EC16E3" w:rsidP="00C2626C">
            <w:pPr>
              <w:rPr>
                <w:rFonts w:cstheme="minorHAnsi"/>
                <w:sz w:val="20"/>
                <w:szCs w:val="20"/>
              </w:rPr>
            </w:pPr>
            <w:r w:rsidRPr="002418DB">
              <w:rPr>
                <w:rFonts w:asciiTheme="minorHAnsi" w:hAnsiTheme="minorHAnsi" w:cstheme="minorHAnsi"/>
                <w:b w:val="0"/>
                <w:sz w:val="20"/>
                <w:szCs w:val="20"/>
              </w:rPr>
              <w:t>Facebook</w:t>
            </w:r>
          </w:p>
        </w:tc>
        <w:tc>
          <w:tcPr>
            <w:tcW w:w="2969" w:type="dxa"/>
          </w:tcPr>
          <w:p w:rsidR="00EC16E3" w:rsidRDefault="00EC16E3" w:rsidP="00C2626C">
            <w:pPr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134B7DA2" wp14:editId="521F7010">
                  <wp:extent cx="1914526" cy="95619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exceeddose-tw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192" cy="95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EC16E3" w:rsidRDefault="0043285A" w:rsidP="00C26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59A4BB"/>
              </w:rPr>
            </w:pPr>
            <w:r w:rsidRPr="0043285A">
              <w:rPr>
                <w:rFonts w:cstheme="minorHAnsi"/>
                <w:bCs/>
              </w:rPr>
              <w:t>You’ve likely heard these common acetaminophen dosing pitfalls before. Here’s how to help your patients avoid accidentally exceeding the labeled dose:</w:t>
            </w:r>
            <w:r>
              <w:rPr>
                <w:rFonts w:cstheme="minorHAnsi"/>
                <w:bCs/>
                <w:color w:val="59A4BB"/>
              </w:rPr>
              <w:t xml:space="preserve"> </w:t>
            </w:r>
            <w:hyperlink r:id="rId23" w:history="1">
              <w:r w:rsidR="00EC16E3" w:rsidRPr="00CD6CC5">
                <w:rPr>
                  <w:rStyle w:val="Hyperlink"/>
                  <w:rFonts w:cstheme="minorHAnsi"/>
                  <w:bCs/>
                </w:rPr>
                <w:t>http://bit.ly/KYD-providers</w:t>
              </w:r>
            </w:hyperlink>
            <w:r w:rsidR="00EC16E3" w:rsidRPr="00CD6CC5">
              <w:rPr>
                <w:rFonts w:cstheme="minorHAnsi"/>
                <w:bCs/>
                <w:color w:val="59A4BB"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  <w:p w:rsidR="00EC16E3" w:rsidRDefault="00EC16E3" w:rsidP="00C262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863DB" w:rsidTr="00C2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hideMark/>
          </w:tcPr>
          <w:p w:rsidR="00A863DB" w:rsidRPr="004F29D0" w:rsidRDefault="00A863DB" w:rsidP="00C2626C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Twitter</w:t>
            </w:r>
          </w:p>
        </w:tc>
        <w:tc>
          <w:tcPr>
            <w:tcW w:w="2969" w:type="dxa"/>
            <w:hideMark/>
          </w:tcPr>
          <w:p w:rsidR="00A863DB" w:rsidRDefault="007A7F95" w:rsidP="00C2626C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8067593" wp14:editId="2AD97E1E">
                  <wp:extent cx="1333500" cy="1333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p Reminding Patients Read Labels (1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18" cy="133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A863DB" w:rsidRDefault="002D6CE2" w:rsidP="00CD6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6CE2">
              <w:rPr>
                <w:rFonts w:cstheme="minorHAnsi"/>
                <w:bCs/>
              </w:rPr>
              <w:t xml:space="preserve">Urging patients to read medicine labels is so important during cold &amp; flu season. These tools can help: </w:t>
            </w:r>
            <w:hyperlink r:id="rId25" w:history="1">
              <w:r w:rsidRPr="008D5436">
                <w:rPr>
                  <w:rStyle w:val="Hyperlink"/>
                  <w:rFonts w:cstheme="minorHAnsi"/>
                  <w:bCs/>
                </w:rPr>
                <w:t>http://bit.ly/KYD-order</w:t>
              </w:r>
            </w:hyperlink>
            <w:r>
              <w:rPr>
                <w:rFonts w:cstheme="minorHAnsi"/>
                <w:bCs/>
                <w:color w:val="59A4BB"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</w:tc>
      </w:tr>
      <w:tr w:rsidR="00A863DB" w:rsidTr="00C262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:rsidR="00A863DB" w:rsidRDefault="00A863DB" w:rsidP="00C2626C">
            <w:pPr>
              <w:rPr>
                <w:rFonts w:cstheme="minorHAnsi"/>
                <w:b w:val="0"/>
                <w:sz w:val="20"/>
                <w:szCs w:val="20"/>
              </w:rPr>
            </w:pPr>
            <w:r w:rsidRPr="002418DB">
              <w:rPr>
                <w:rFonts w:asciiTheme="minorHAnsi" w:hAnsiTheme="minorHAnsi" w:cstheme="minorHAnsi"/>
                <w:b w:val="0"/>
                <w:sz w:val="20"/>
                <w:szCs w:val="20"/>
              </w:rPr>
              <w:t>Facebook</w:t>
            </w:r>
          </w:p>
        </w:tc>
        <w:tc>
          <w:tcPr>
            <w:tcW w:w="2969" w:type="dxa"/>
          </w:tcPr>
          <w:p w:rsidR="00A863DB" w:rsidRDefault="007A7F95" w:rsidP="00C2626C">
            <w:pPr>
              <w:ind w:left="-10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FA37CBE" wp14:editId="0DF545FD">
                  <wp:extent cx="1333500" cy="1333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p Reminding Patients Read Labels (1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18" cy="133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2D6CE2" w:rsidRDefault="002D6CE2" w:rsidP="002D6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59A4BB"/>
              </w:rPr>
            </w:pPr>
            <w:r w:rsidRPr="002D6CE2">
              <w:rPr>
                <w:rFonts w:cstheme="minorHAnsi"/>
                <w:bCs/>
              </w:rPr>
              <w:t xml:space="preserve">Encouraging patients to read </w:t>
            </w:r>
            <w:r>
              <w:rPr>
                <w:rFonts w:cstheme="minorHAnsi"/>
                <w:bCs/>
              </w:rPr>
              <w:t xml:space="preserve">and follow </w:t>
            </w:r>
            <w:r w:rsidRPr="002D6CE2">
              <w:rPr>
                <w:rFonts w:cstheme="minorHAnsi"/>
                <w:bCs/>
              </w:rPr>
              <w:t>their medicines labels is so important during cold and flu season</w:t>
            </w:r>
            <w:r>
              <w:rPr>
                <w:rFonts w:cstheme="minorHAnsi"/>
                <w:bCs/>
              </w:rPr>
              <w:t xml:space="preserve">. Here are some tools to help spark that conversation: </w:t>
            </w:r>
            <w:hyperlink r:id="rId26" w:history="1">
              <w:r w:rsidRPr="008D5436">
                <w:rPr>
                  <w:rStyle w:val="Hyperlink"/>
                  <w:rFonts w:cstheme="minorHAnsi"/>
                  <w:bCs/>
                </w:rPr>
                <w:t>http://bit.ly/KYD-order</w:t>
              </w:r>
            </w:hyperlink>
            <w:r>
              <w:rPr>
                <w:rFonts w:cstheme="minorHAnsi"/>
                <w:bCs/>
                <w:color w:val="59A4BB"/>
              </w:rPr>
              <w:t xml:space="preserve"> </w:t>
            </w:r>
            <w:r w:rsidR="00570D3C" w:rsidRPr="00570D3C">
              <w:rPr>
                <w:rFonts w:cstheme="minorHAnsi"/>
                <w:bCs/>
              </w:rPr>
              <w:t>#KYDcoldflu</w:t>
            </w:r>
          </w:p>
          <w:p w:rsidR="00A863DB" w:rsidRDefault="00A863DB" w:rsidP="00CD6C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A863DB" w:rsidRDefault="00A863DB" w:rsidP="00A863DB">
      <w:pPr>
        <w:spacing w:after="0" w:line="240" w:lineRule="auto"/>
        <w:rPr>
          <w:rFonts w:cstheme="minorHAnsi"/>
          <w:b/>
          <w:bCs/>
          <w:color w:val="59A4BB"/>
          <w:sz w:val="20"/>
          <w:szCs w:val="20"/>
        </w:rPr>
      </w:pPr>
    </w:p>
    <w:p w:rsidR="00A863DB" w:rsidRDefault="00A863DB" w:rsidP="00A863DB">
      <w:pPr>
        <w:spacing w:after="0" w:line="240" w:lineRule="auto"/>
        <w:rPr>
          <w:color w:val="000000"/>
        </w:rPr>
      </w:pPr>
    </w:p>
    <w:p w:rsidR="00A863DB" w:rsidRDefault="00A863DB" w:rsidP="00A863DB">
      <w:pPr>
        <w:spacing w:after="0" w:line="240" w:lineRule="auto"/>
      </w:pPr>
    </w:p>
    <w:p w:rsidR="007A7F95" w:rsidRDefault="007A7F95" w:rsidP="007A7F95">
      <w:pPr>
        <w:spacing w:after="0" w:line="240" w:lineRule="auto"/>
        <w:rPr>
          <w:rFonts w:cstheme="minorHAnsi"/>
          <w:b/>
          <w:bCs/>
          <w:color w:val="59A4BB"/>
          <w:sz w:val="24"/>
          <w:szCs w:val="24"/>
        </w:rPr>
      </w:pPr>
      <w:r w:rsidRPr="00C43C6D">
        <w:rPr>
          <w:rFonts w:cstheme="minorHAnsi"/>
          <w:b/>
          <w:bCs/>
          <w:color w:val="59A4BB"/>
          <w:sz w:val="24"/>
          <w:szCs w:val="24"/>
        </w:rPr>
        <w:t>Content for Newsletters, Blogs</w:t>
      </w:r>
      <w:r>
        <w:rPr>
          <w:rFonts w:cstheme="minorHAnsi"/>
          <w:b/>
          <w:bCs/>
          <w:color w:val="59A4BB"/>
          <w:sz w:val="24"/>
          <w:szCs w:val="24"/>
        </w:rPr>
        <w:t>,</w:t>
      </w:r>
      <w:r w:rsidRPr="00C43C6D">
        <w:rPr>
          <w:rFonts w:cstheme="minorHAnsi"/>
          <w:b/>
          <w:bCs/>
          <w:color w:val="59A4BB"/>
          <w:sz w:val="24"/>
          <w:szCs w:val="24"/>
        </w:rPr>
        <w:t xml:space="preserve"> and Websites</w:t>
      </w:r>
    </w:p>
    <w:p w:rsidR="007A7F95" w:rsidRPr="00FC1A2E" w:rsidRDefault="007A7F95" w:rsidP="007A7F95">
      <w:pPr>
        <w:spacing w:after="0" w:line="240" w:lineRule="auto"/>
        <w:rPr>
          <w:rFonts w:cstheme="minorHAnsi"/>
          <w:b/>
          <w:bCs/>
          <w:color w:val="59A4BB"/>
        </w:rPr>
      </w:pPr>
    </w:p>
    <w:p w:rsidR="007A7F95" w:rsidRPr="000435EC" w:rsidRDefault="007A7F95" w:rsidP="007A7F95">
      <w:pPr>
        <w:pStyle w:val="NoSpacing"/>
        <w:contextualSpacing/>
        <w:jc w:val="center"/>
        <w:rPr>
          <w:rFonts w:cstheme="minorHAnsi"/>
          <w:b/>
        </w:rPr>
      </w:pPr>
      <w:r w:rsidRPr="000435EC">
        <w:rPr>
          <w:rFonts w:cstheme="minorHAnsi"/>
          <w:b/>
        </w:rPr>
        <w:t xml:space="preserve">Your </w:t>
      </w:r>
      <w:r>
        <w:rPr>
          <w:rFonts w:cstheme="minorHAnsi"/>
          <w:b/>
        </w:rPr>
        <w:t xml:space="preserve">Patients’ </w:t>
      </w:r>
      <w:r w:rsidRPr="000435EC">
        <w:rPr>
          <w:rFonts w:cstheme="minorHAnsi"/>
          <w:b/>
        </w:rPr>
        <w:t>Cold and Flu Season Survival Guide</w:t>
      </w:r>
    </w:p>
    <w:p w:rsidR="007A7F95" w:rsidRDefault="007A7F95" w:rsidP="007A7F95">
      <w:pPr>
        <w:pStyle w:val="NoSpacing"/>
        <w:contextualSpacing/>
        <w:rPr>
          <w:rFonts w:cstheme="minorHAnsi"/>
        </w:rPr>
      </w:pPr>
    </w:p>
    <w:p w:rsidR="00347E1C" w:rsidRDefault="007A7F95" w:rsidP="007A7F95">
      <w:pPr>
        <w:pStyle w:val="NoSpacing"/>
        <w:contextualSpacing/>
        <w:rPr>
          <w:rFonts w:cstheme="minorHAnsi"/>
        </w:rPr>
      </w:pPr>
      <w:r w:rsidRPr="00D1003C">
        <w:rPr>
          <w:rFonts w:cstheme="minorHAnsi"/>
        </w:rPr>
        <w:t>Cold and flu season is h</w:t>
      </w:r>
      <w:r w:rsidR="00347E1C">
        <w:rPr>
          <w:rFonts w:cstheme="minorHAnsi"/>
        </w:rPr>
        <w:t>ere</w:t>
      </w:r>
      <w:r w:rsidR="006E0BC7">
        <w:rPr>
          <w:rFonts w:cstheme="minorHAnsi"/>
        </w:rPr>
        <w:t xml:space="preserve"> again</w:t>
      </w:r>
      <w:r w:rsidR="00347E1C">
        <w:rPr>
          <w:rFonts w:cstheme="minorHAnsi"/>
        </w:rPr>
        <w:t xml:space="preserve">, which means we as healthcare professionals are on especially high alert for potential </w:t>
      </w:r>
      <w:r w:rsidR="006E0BC7">
        <w:rPr>
          <w:rFonts w:cstheme="minorHAnsi"/>
        </w:rPr>
        <w:t>dosing mistakes</w:t>
      </w:r>
      <w:r w:rsidR="00347E1C">
        <w:rPr>
          <w:rFonts w:cstheme="minorHAnsi"/>
        </w:rPr>
        <w:t xml:space="preserve"> among our patients. S</w:t>
      </w:r>
      <w:r w:rsidR="00347E1C" w:rsidRPr="00347E1C">
        <w:rPr>
          <w:rFonts w:cstheme="minorHAnsi"/>
        </w:rPr>
        <w:t>even in 10</w:t>
      </w:r>
      <w:r w:rsidR="00347E1C">
        <w:rPr>
          <w:rFonts w:cstheme="minorHAnsi"/>
        </w:rPr>
        <w:t xml:space="preserve"> will</w:t>
      </w:r>
      <w:r w:rsidR="00347E1C" w:rsidRPr="00347E1C">
        <w:rPr>
          <w:rFonts w:cstheme="minorHAnsi"/>
        </w:rPr>
        <w:t xml:space="preserve"> use over-the-counter </w:t>
      </w:r>
      <w:r w:rsidR="00347E1C">
        <w:rPr>
          <w:rFonts w:cstheme="minorHAnsi"/>
        </w:rPr>
        <w:t xml:space="preserve">(OTC) </w:t>
      </w:r>
      <w:r w:rsidR="00347E1C" w:rsidRPr="00347E1C">
        <w:rPr>
          <w:rFonts w:cstheme="minorHAnsi"/>
        </w:rPr>
        <w:t xml:space="preserve">medicines to treat </w:t>
      </w:r>
      <w:r w:rsidR="00347E1C">
        <w:rPr>
          <w:rFonts w:cstheme="minorHAnsi"/>
        </w:rPr>
        <w:t xml:space="preserve">their </w:t>
      </w:r>
      <w:r w:rsidR="00347E1C" w:rsidRPr="00347E1C">
        <w:rPr>
          <w:rFonts w:cstheme="minorHAnsi"/>
        </w:rPr>
        <w:t>cold and flu symptoms</w:t>
      </w:r>
      <w:r w:rsidR="00347E1C">
        <w:rPr>
          <w:rFonts w:cstheme="minorHAnsi"/>
        </w:rPr>
        <w:t>, and r</w:t>
      </w:r>
      <w:r w:rsidR="00347E1C" w:rsidRPr="0000209A">
        <w:rPr>
          <w:rFonts w:cstheme="minorHAnsi"/>
        </w:rPr>
        <w:t xml:space="preserve">esearch shows that </w:t>
      </w:r>
      <w:hyperlink r:id="rId27" w:history="1">
        <w:r w:rsidR="00347E1C" w:rsidRPr="004A3F2C">
          <w:rPr>
            <w:rStyle w:val="Hyperlink"/>
            <w:rFonts w:cstheme="minorHAnsi"/>
          </w:rPr>
          <w:t>consumers don’t always know</w:t>
        </w:r>
      </w:hyperlink>
      <w:r w:rsidR="00347E1C" w:rsidRPr="0000209A">
        <w:rPr>
          <w:rFonts w:cstheme="minorHAnsi"/>
        </w:rPr>
        <w:t xml:space="preserve"> that taking two medicines with the same ingred</w:t>
      </w:r>
      <w:r w:rsidR="00426634">
        <w:rPr>
          <w:rFonts w:cstheme="minorHAnsi"/>
        </w:rPr>
        <w:t>ient could be harmful,</w:t>
      </w:r>
      <w:r w:rsidR="00426634" w:rsidRPr="0000209A">
        <w:rPr>
          <w:rFonts w:cstheme="minorHAnsi"/>
        </w:rPr>
        <w:t xml:space="preserve"> </w:t>
      </w:r>
      <w:r w:rsidR="00347E1C" w:rsidRPr="0000209A">
        <w:rPr>
          <w:rFonts w:cstheme="minorHAnsi"/>
        </w:rPr>
        <w:t xml:space="preserve">and </w:t>
      </w:r>
      <w:hyperlink r:id="rId28" w:history="1">
        <w:r w:rsidR="00347E1C" w:rsidRPr="004A3F2C">
          <w:rPr>
            <w:rStyle w:val="Hyperlink"/>
            <w:rFonts w:cstheme="minorHAnsi"/>
          </w:rPr>
          <w:t>two in three consumers don’t consider</w:t>
        </w:r>
      </w:hyperlink>
      <w:r w:rsidR="00347E1C" w:rsidRPr="0000209A">
        <w:rPr>
          <w:rFonts w:cstheme="minorHAnsi"/>
        </w:rPr>
        <w:t xml:space="preserve"> other </w:t>
      </w:r>
      <w:r w:rsidR="00347E1C">
        <w:rPr>
          <w:rFonts w:cstheme="minorHAnsi"/>
        </w:rPr>
        <w:t>OTC medicines they’</w:t>
      </w:r>
      <w:r w:rsidR="00347E1C" w:rsidRPr="0000209A">
        <w:rPr>
          <w:rFonts w:cstheme="minorHAnsi"/>
        </w:rPr>
        <w:t>re taking</w:t>
      </w:r>
      <w:r w:rsidR="00347E1C" w:rsidRPr="00347E1C">
        <w:t xml:space="preserve"> </w:t>
      </w:r>
      <w:r w:rsidR="00347E1C" w:rsidRPr="00347E1C">
        <w:rPr>
          <w:rFonts w:cstheme="minorHAnsi"/>
        </w:rPr>
        <w:t xml:space="preserve">when </w:t>
      </w:r>
      <w:r w:rsidR="00347E1C">
        <w:rPr>
          <w:rFonts w:cstheme="minorHAnsi"/>
        </w:rPr>
        <w:t>choosing an OTC pain reliever</w:t>
      </w:r>
      <w:r w:rsidR="00347E1C" w:rsidRPr="0000209A">
        <w:rPr>
          <w:rFonts w:cstheme="minorHAnsi"/>
        </w:rPr>
        <w:t>.</w:t>
      </w:r>
    </w:p>
    <w:p w:rsidR="00347E1C" w:rsidRDefault="00347E1C" w:rsidP="007A7F95">
      <w:pPr>
        <w:pStyle w:val="NoSpacing"/>
        <w:contextualSpacing/>
        <w:rPr>
          <w:rFonts w:cstheme="minorHAnsi"/>
        </w:rPr>
      </w:pPr>
    </w:p>
    <w:p w:rsidR="006E0BC7" w:rsidRDefault="00347E1C" w:rsidP="00347E1C">
      <w:pPr>
        <w:pStyle w:val="NoSpacing"/>
        <w:contextualSpacing/>
        <w:rPr>
          <w:rFonts w:cstheme="minorHAnsi"/>
        </w:rPr>
      </w:pPr>
      <w:r w:rsidRPr="00347E1C">
        <w:rPr>
          <w:rFonts w:cstheme="minorHAnsi"/>
        </w:rPr>
        <w:t>The CDC expects the</w:t>
      </w:r>
      <w:r>
        <w:rPr>
          <w:rFonts w:cstheme="minorHAnsi"/>
        </w:rPr>
        <w:t xml:space="preserve"> cold and flu</w:t>
      </w:r>
      <w:r w:rsidRPr="00347E1C">
        <w:rPr>
          <w:rFonts w:cstheme="minorHAnsi"/>
        </w:rPr>
        <w:t xml:space="preserve"> season will peak this year between December and Marc</w:t>
      </w:r>
      <w:r>
        <w:rPr>
          <w:rFonts w:cstheme="minorHAnsi"/>
        </w:rPr>
        <w:t xml:space="preserve">h, so </w:t>
      </w:r>
      <w:r w:rsidR="006E0BC7">
        <w:rPr>
          <w:rFonts w:cstheme="minorHAnsi"/>
        </w:rPr>
        <w:t>now is the</w:t>
      </w:r>
      <w:r>
        <w:rPr>
          <w:rFonts w:cstheme="minorHAnsi"/>
        </w:rPr>
        <w:t xml:space="preserve"> time to remind your patients that m</w:t>
      </w:r>
      <w:r w:rsidRPr="00962C5C">
        <w:rPr>
          <w:rFonts w:cstheme="minorHAnsi"/>
        </w:rPr>
        <w:t xml:space="preserve">any </w:t>
      </w:r>
      <w:r>
        <w:rPr>
          <w:rFonts w:cstheme="minorHAnsi"/>
        </w:rPr>
        <w:t xml:space="preserve">multi-symptom cold and flu </w:t>
      </w:r>
      <w:r w:rsidRPr="00962C5C">
        <w:rPr>
          <w:rFonts w:cstheme="minorHAnsi"/>
        </w:rPr>
        <w:t>medicines contain the common drug ingredient acetaminophen</w:t>
      </w:r>
      <w:r>
        <w:rPr>
          <w:rFonts w:cstheme="minorHAnsi"/>
        </w:rPr>
        <w:t>.</w:t>
      </w:r>
      <w:r w:rsidRPr="00347E1C">
        <w:rPr>
          <w:rFonts w:cstheme="minorHAnsi"/>
        </w:rPr>
        <w:t xml:space="preserve"> </w:t>
      </w:r>
      <w:r>
        <w:rPr>
          <w:rFonts w:cstheme="minorHAnsi"/>
        </w:rPr>
        <w:t>In fact, a</w:t>
      </w:r>
      <w:r w:rsidRPr="00962C5C">
        <w:rPr>
          <w:rFonts w:cstheme="minorHAnsi"/>
        </w:rPr>
        <w:t xml:space="preserve">cetaminophen is found in more than 600 different </w:t>
      </w:r>
      <w:r>
        <w:rPr>
          <w:rFonts w:cstheme="minorHAnsi"/>
        </w:rPr>
        <w:t>OTC</w:t>
      </w:r>
      <w:r w:rsidRPr="00962C5C">
        <w:rPr>
          <w:rFonts w:cstheme="minorHAnsi"/>
        </w:rPr>
        <w:t xml:space="preserve"> and prescription medicines</w:t>
      </w:r>
      <w:r>
        <w:rPr>
          <w:rFonts w:cstheme="minorHAnsi"/>
        </w:rPr>
        <w:t xml:space="preserve">. </w:t>
      </w:r>
      <w:r w:rsidR="00590291">
        <w:rPr>
          <w:rFonts w:cstheme="minorHAnsi"/>
        </w:rPr>
        <w:t>It’s safe and effective when used as directed, but p</w:t>
      </w:r>
      <w:r>
        <w:rPr>
          <w:rFonts w:cstheme="minorHAnsi"/>
        </w:rPr>
        <w:t xml:space="preserve">atients who take medicines with acetaminophen for </w:t>
      </w:r>
      <w:r w:rsidR="006E0BC7">
        <w:rPr>
          <w:rFonts w:cstheme="minorHAnsi"/>
        </w:rPr>
        <w:t xml:space="preserve">everyday </w:t>
      </w:r>
      <w:r>
        <w:rPr>
          <w:rFonts w:cstheme="minorHAnsi"/>
        </w:rPr>
        <w:t xml:space="preserve">pain relief may not realize they risk </w:t>
      </w:r>
      <w:r>
        <w:rPr>
          <w:rFonts w:cstheme="minorHAnsi"/>
        </w:rPr>
        <w:lastRenderedPageBreak/>
        <w:t xml:space="preserve">accidentally doubling their dose by taking </w:t>
      </w:r>
      <w:r w:rsidR="006E0BC7">
        <w:rPr>
          <w:rFonts w:cstheme="minorHAnsi"/>
        </w:rPr>
        <w:t xml:space="preserve">certain </w:t>
      </w:r>
      <w:r>
        <w:rPr>
          <w:rFonts w:cstheme="minorHAnsi"/>
        </w:rPr>
        <w:t xml:space="preserve">cold and flu medicines. </w:t>
      </w:r>
      <w:r w:rsidR="009E3EB9">
        <w:rPr>
          <w:rFonts w:cstheme="minorHAnsi"/>
        </w:rPr>
        <w:t>Make sure your patients know</w:t>
      </w:r>
      <w:r>
        <w:rPr>
          <w:rFonts w:cstheme="minorHAnsi"/>
        </w:rPr>
        <w:t xml:space="preserve"> that t</w:t>
      </w:r>
      <w:r w:rsidRPr="00962C5C">
        <w:rPr>
          <w:rFonts w:cstheme="minorHAnsi"/>
        </w:rPr>
        <w:t>he U.S</w:t>
      </w:r>
      <w:r>
        <w:rPr>
          <w:rFonts w:cstheme="minorHAnsi"/>
        </w:rPr>
        <w:t xml:space="preserve">. Food and Drug Administration </w:t>
      </w:r>
      <w:r w:rsidRPr="00962C5C">
        <w:rPr>
          <w:rFonts w:cstheme="minorHAnsi"/>
        </w:rPr>
        <w:t>has set a maximum daily dose of 4,000 milligrams (mg) of ace</w:t>
      </w:r>
      <w:r>
        <w:rPr>
          <w:rFonts w:cstheme="minorHAnsi"/>
        </w:rPr>
        <w:t>taminophen in a 24-hour period, and t</w:t>
      </w:r>
      <w:r w:rsidRPr="00962C5C">
        <w:rPr>
          <w:rFonts w:cstheme="minorHAnsi"/>
        </w:rPr>
        <w:t xml:space="preserve">aking more than directed </w:t>
      </w:r>
      <w:r>
        <w:rPr>
          <w:rFonts w:cstheme="minorHAnsi"/>
        </w:rPr>
        <w:t xml:space="preserve">can lead to liver damage. </w:t>
      </w:r>
    </w:p>
    <w:p w:rsidR="007A7F95" w:rsidRDefault="007A7F95" w:rsidP="007A7F95">
      <w:pPr>
        <w:pStyle w:val="NoSpacing"/>
        <w:contextualSpacing/>
        <w:rPr>
          <w:rFonts w:cstheme="minorHAnsi"/>
        </w:rPr>
      </w:pPr>
    </w:p>
    <w:p w:rsidR="007A7F95" w:rsidRDefault="007B4B43" w:rsidP="007A7F95">
      <w:pPr>
        <w:pStyle w:val="NoSpacing"/>
        <w:contextualSpacing/>
        <w:rPr>
          <w:rFonts w:cstheme="minorHAnsi"/>
        </w:rPr>
      </w:pPr>
      <w:r>
        <w:rPr>
          <w:rFonts w:cstheme="minorHAnsi"/>
        </w:rPr>
        <w:t>T</w:t>
      </w:r>
      <w:r w:rsidR="007A7F95">
        <w:rPr>
          <w:rFonts w:cstheme="minorHAnsi"/>
        </w:rPr>
        <w:t xml:space="preserve">hese core </w:t>
      </w:r>
      <w:r w:rsidR="006E0BC7">
        <w:rPr>
          <w:rFonts w:cstheme="minorHAnsi"/>
        </w:rPr>
        <w:t>s</w:t>
      </w:r>
      <w:r w:rsidR="007A7F95">
        <w:rPr>
          <w:rFonts w:cstheme="minorHAnsi"/>
        </w:rPr>
        <w:t>afe use steps</w:t>
      </w:r>
      <w:r w:rsidR="006E0BC7">
        <w:rPr>
          <w:rFonts w:cstheme="minorHAnsi"/>
        </w:rPr>
        <w:t xml:space="preserve"> from the</w:t>
      </w:r>
      <w:r w:rsidR="0094713E">
        <w:t xml:space="preserve"> </w:t>
      </w:r>
      <w:hyperlink r:id="rId29" w:history="1">
        <w:r w:rsidR="0094713E" w:rsidRPr="0094713E">
          <w:rPr>
            <w:rStyle w:val="Hyperlink"/>
          </w:rPr>
          <w:t>Know Your Dose campaign</w:t>
        </w:r>
      </w:hyperlink>
      <w:r w:rsidR="006E0BC7">
        <w:rPr>
          <w:rFonts w:cstheme="minorHAnsi"/>
        </w:rPr>
        <w:t>, of which [</w:t>
      </w:r>
      <w:r w:rsidR="0094713E">
        <w:rPr>
          <w:rFonts w:cstheme="minorHAnsi"/>
          <w:highlight w:val="yellow"/>
        </w:rPr>
        <w:t>ORG</w:t>
      </w:r>
      <w:r w:rsidR="006E0BC7" w:rsidRPr="006E0BC7">
        <w:rPr>
          <w:rFonts w:cstheme="minorHAnsi"/>
          <w:highlight w:val="yellow"/>
        </w:rPr>
        <w:t xml:space="preserve"> NAME</w:t>
      </w:r>
      <w:r w:rsidR="006E0BC7">
        <w:rPr>
          <w:rFonts w:cstheme="minorHAnsi"/>
        </w:rPr>
        <w:t xml:space="preserve">] is a proud </w:t>
      </w:r>
      <w:r w:rsidR="0094713E">
        <w:rPr>
          <w:rFonts w:cstheme="minorHAnsi"/>
        </w:rPr>
        <w:t>partner</w:t>
      </w:r>
      <w:r>
        <w:rPr>
          <w:rFonts w:cstheme="minorHAnsi"/>
        </w:rPr>
        <w:t>, will help your patients use medicines with acetaminophen safely:</w:t>
      </w:r>
    </w:p>
    <w:p w:rsidR="007A7F95" w:rsidRPr="008F768D" w:rsidRDefault="007A7F95" w:rsidP="007A7F95">
      <w:pPr>
        <w:pStyle w:val="NoSpacing"/>
        <w:numPr>
          <w:ilvl w:val="0"/>
          <w:numId w:val="2"/>
        </w:numPr>
        <w:contextualSpacing/>
        <w:rPr>
          <w:rFonts w:cstheme="minorHAnsi"/>
          <w:b/>
        </w:rPr>
      </w:pPr>
      <w:r w:rsidRPr="008F768D">
        <w:rPr>
          <w:rFonts w:cstheme="minorHAnsi"/>
          <w:b/>
        </w:rPr>
        <w:t xml:space="preserve">Always read and follow the label. </w:t>
      </w:r>
    </w:p>
    <w:p w:rsidR="007A7F95" w:rsidRPr="008F768D" w:rsidRDefault="007A7F95" w:rsidP="007A7F95">
      <w:pPr>
        <w:pStyle w:val="NoSpacing"/>
        <w:numPr>
          <w:ilvl w:val="0"/>
          <w:numId w:val="1"/>
        </w:numPr>
        <w:contextualSpacing/>
        <w:rPr>
          <w:rFonts w:cstheme="minorHAnsi"/>
          <w:b/>
        </w:rPr>
      </w:pPr>
      <w:r w:rsidRPr="008F768D">
        <w:rPr>
          <w:rFonts w:cstheme="minorHAnsi"/>
          <w:b/>
        </w:rPr>
        <w:t>Know if your medicines contain acetaminophen.</w:t>
      </w:r>
    </w:p>
    <w:p w:rsidR="007A7F95" w:rsidRPr="0000209A" w:rsidRDefault="007A7F95" w:rsidP="007A7F95">
      <w:pPr>
        <w:pStyle w:val="NoSpacing"/>
        <w:numPr>
          <w:ilvl w:val="0"/>
          <w:numId w:val="1"/>
        </w:numPr>
        <w:contextualSpacing/>
        <w:rPr>
          <w:rFonts w:cstheme="minorHAnsi"/>
        </w:rPr>
      </w:pPr>
      <w:r w:rsidRPr="008F768D">
        <w:rPr>
          <w:rFonts w:cstheme="minorHAnsi"/>
          <w:b/>
        </w:rPr>
        <w:t>Take only one medicine at a time that contains acetaminophen</w:t>
      </w:r>
      <w:r w:rsidRPr="0000209A">
        <w:rPr>
          <w:rFonts w:cstheme="minorHAnsi"/>
        </w:rPr>
        <w:t xml:space="preserve">. </w:t>
      </w:r>
    </w:p>
    <w:p w:rsidR="007A7F95" w:rsidRDefault="007A7F95" w:rsidP="007A7F95">
      <w:pPr>
        <w:pStyle w:val="NoSpacing"/>
        <w:numPr>
          <w:ilvl w:val="0"/>
          <w:numId w:val="1"/>
        </w:numPr>
        <w:contextualSpacing/>
        <w:rPr>
          <w:rFonts w:cstheme="minorHAnsi"/>
        </w:rPr>
      </w:pPr>
      <w:r w:rsidRPr="008F768D">
        <w:rPr>
          <w:rFonts w:cstheme="minorHAnsi"/>
          <w:b/>
        </w:rPr>
        <w:t>Ask your healthcare provider or a pharmacist</w:t>
      </w:r>
      <w:r w:rsidRPr="0000209A">
        <w:rPr>
          <w:rFonts w:cstheme="minorHAnsi"/>
        </w:rPr>
        <w:t xml:space="preserve"> if you have questions about dosing instructions or medicines that contain acetaminophen.</w:t>
      </w:r>
    </w:p>
    <w:p w:rsidR="006E0BC7" w:rsidRDefault="006E0BC7" w:rsidP="007A7F95">
      <w:pPr>
        <w:pStyle w:val="NoSpacing"/>
        <w:tabs>
          <w:tab w:val="left" w:pos="10710"/>
        </w:tabs>
        <w:rPr>
          <w:rFonts w:cstheme="minorHAnsi"/>
        </w:rPr>
      </w:pPr>
    </w:p>
    <w:p w:rsidR="007A7F95" w:rsidRPr="009436E1" w:rsidRDefault="00590291" w:rsidP="007A7F95">
      <w:pPr>
        <w:pStyle w:val="NoSpacing"/>
        <w:tabs>
          <w:tab w:val="left" w:pos="10710"/>
        </w:tabs>
        <w:rPr>
          <w:rFonts w:cstheme="minorHAnsi"/>
        </w:rPr>
      </w:pPr>
      <w:r>
        <w:rPr>
          <w:rFonts w:cstheme="minorHAnsi"/>
        </w:rPr>
        <w:t>O</w:t>
      </w:r>
      <w:r w:rsidR="007A7F95">
        <w:rPr>
          <w:rFonts w:eastAsia="Times New Roman" w:cstheme="minorHAnsi"/>
        </w:rPr>
        <w:t xml:space="preserve">rder free educational materials </w:t>
      </w:r>
      <w:r w:rsidR="006E0BC7">
        <w:rPr>
          <w:rFonts w:eastAsia="Times New Roman" w:cstheme="minorHAnsi"/>
        </w:rPr>
        <w:t xml:space="preserve">on acetaminophen safe use </w:t>
      </w:r>
      <w:r w:rsidR="007A7F95">
        <w:rPr>
          <w:rFonts w:eastAsia="Times New Roman" w:cstheme="minorHAnsi"/>
        </w:rPr>
        <w:t xml:space="preserve">for your office or pharmacy at </w:t>
      </w:r>
      <w:hyperlink r:id="rId30" w:history="1">
        <w:r w:rsidR="007A7F95">
          <w:rPr>
            <w:rStyle w:val="Hyperlink"/>
            <w:rFonts w:eastAsia="Times New Roman" w:cstheme="minorHAnsi"/>
          </w:rPr>
          <w:t>KnowYourDose.org</w:t>
        </w:r>
      </w:hyperlink>
      <w:r w:rsidR="007A7F95" w:rsidRPr="006E0BC7">
        <w:t xml:space="preserve"> </w:t>
      </w:r>
      <w:r w:rsidR="006E0BC7" w:rsidRPr="006E0BC7">
        <w:t xml:space="preserve">and </w:t>
      </w:r>
      <w:r w:rsidR="007A7F95">
        <w:t>f</w:t>
      </w:r>
      <w:r w:rsidR="007A7F95">
        <w:rPr>
          <w:rFonts w:cstheme="minorHAnsi"/>
        </w:rPr>
        <w:t xml:space="preserve">ollow </w:t>
      </w:r>
      <w:hyperlink r:id="rId31" w:history="1">
        <w:r w:rsidR="007A7F95">
          <w:rPr>
            <w:rStyle w:val="Hyperlink"/>
            <w:rFonts w:cstheme="minorHAnsi"/>
          </w:rPr>
          <w:t>@KnowYourDose</w:t>
        </w:r>
      </w:hyperlink>
      <w:r w:rsidR="007A7F95">
        <w:t xml:space="preserve"> </w:t>
      </w:r>
      <w:r w:rsidR="007A7F95">
        <w:rPr>
          <w:rFonts w:cstheme="minorHAnsi"/>
        </w:rPr>
        <w:t>on Twitter.</w:t>
      </w:r>
    </w:p>
    <w:p w:rsidR="00BF4CF3" w:rsidRDefault="00274C71"/>
    <w:sectPr w:rsidR="00BF4CF3" w:rsidSect="00904582">
      <w:headerReference w:type="default" r:id="rId32"/>
      <w:footerReference w:type="default" r:id="rId3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71" w:rsidRDefault="00274C71" w:rsidP="00347E1C">
      <w:pPr>
        <w:spacing w:after="0" w:line="240" w:lineRule="auto"/>
      </w:pPr>
      <w:r>
        <w:separator/>
      </w:r>
    </w:p>
  </w:endnote>
  <w:endnote w:type="continuationSeparator" w:id="0">
    <w:p w:rsidR="00274C71" w:rsidRDefault="00274C71" w:rsidP="003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227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AC0" w:rsidRDefault="000A5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055" w:rsidRDefault="0027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71" w:rsidRDefault="00274C71" w:rsidP="00347E1C">
      <w:pPr>
        <w:spacing w:after="0" w:line="240" w:lineRule="auto"/>
      </w:pPr>
      <w:r>
        <w:separator/>
      </w:r>
    </w:p>
  </w:footnote>
  <w:footnote w:type="continuationSeparator" w:id="0">
    <w:p w:rsidR="00274C71" w:rsidRDefault="00274C71" w:rsidP="0034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2E" w:rsidRDefault="000A56C8" w:rsidP="00160487">
    <w:pPr>
      <w:pStyle w:val="Header"/>
      <w:jc w:val="right"/>
      <w:rPr>
        <w:b/>
        <w:color w:val="FFFFFF" w:themeColor="background1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1D415" wp14:editId="1731F682">
          <wp:simplePos x="0" y="0"/>
          <wp:positionH relativeFrom="column">
            <wp:posOffset>4600575</wp:posOffset>
          </wp:positionH>
          <wp:positionV relativeFrom="paragraph">
            <wp:posOffset>9525</wp:posOffset>
          </wp:positionV>
          <wp:extent cx="2243455" cy="388620"/>
          <wp:effectExtent l="0" t="0" r="444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28"/>
      </w:rPr>
      <w:t xml:space="preserve">Healthcare Provider </w:t>
    </w:r>
    <w:r w:rsidRPr="00160487">
      <w:rPr>
        <w:b/>
        <w:color w:val="FFFFFF" w:themeColor="background1"/>
        <w:sz w:val="28"/>
      </w:rPr>
      <w:t>Communications Toolkit</w:t>
    </w:r>
  </w:p>
  <w:p w:rsidR="001C37CD" w:rsidRPr="008F3F56" w:rsidRDefault="000A56C8" w:rsidP="00904582">
    <w:pPr>
      <w:pStyle w:val="Header"/>
      <w:tabs>
        <w:tab w:val="clear" w:pos="9360"/>
        <w:tab w:val="right" w:pos="10800"/>
      </w:tabs>
      <w:jc w:val="right"/>
      <w:rPr>
        <w:color w:val="0070C0"/>
        <w:sz w:val="28"/>
      </w:rPr>
    </w:pPr>
    <w:r>
      <w:rPr>
        <w:b/>
        <w:color w:val="FFFFFF" w:themeColor="background1"/>
        <w:sz w:val="24"/>
      </w:rPr>
      <w:tab/>
      <w:t xml:space="preserve">                                   </w:t>
    </w:r>
    <w:r w:rsidRPr="00614665">
      <w:rPr>
        <w:color w:val="FFFFFF" w:themeColor="background1"/>
        <w:sz w:val="24"/>
      </w:rPr>
      <w:t>Know Your Dose</w:t>
    </w:r>
    <w:r>
      <w:rPr>
        <w:color w:val="FFFFFF" w:themeColor="background1"/>
        <w:sz w:val="24"/>
      </w:rPr>
      <w:t xml:space="preserve"> Campaign: 5</w:t>
    </w:r>
    <w:r w:rsidRPr="003B3F00">
      <w:rPr>
        <w:color w:val="FFFFFF" w:themeColor="background1"/>
        <w:sz w:val="24"/>
        <w:vertAlign w:val="superscript"/>
      </w:rPr>
      <w:t>th</w:t>
    </w:r>
    <w:r>
      <w:rPr>
        <w:color w:val="FFFFFF" w:themeColor="background1"/>
        <w:sz w:val="24"/>
      </w:rPr>
      <w:t xml:space="preserve"> Anniversary Rally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BE2"/>
    <w:multiLevelType w:val="hybridMultilevel"/>
    <w:tmpl w:val="C876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DA5"/>
    <w:multiLevelType w:val="hybridMultilevel"/>
    <w:tmpl w:val="1F9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099"/>
    <w:multiLevelType w:val="hybridMultilevel"/>
    <w:tmpl w:val="F40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C0093"/>
    <w:multiLevelType w:val="hybridMultilevel"/>
    <w:tmpl w:val="84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B"/>
    <w:rsid w:val="000058AA"/>
    <w:rsid w:val="00093FB9"/>
    <w:rsid w:val="000A56C8"/>
    <w:rsid w:val="000F3C59"/>
    <w:rsid w:val="0026095D"/>
    <w:rsid w:val="00274C71"/>
    <w:rsid w:val="002D6CE2"/>
    <w:rsid w:val="00347E1C"/>
    <w:rsid w:val="003D663B"/>
    <w:rsid w:val="00426634"/>
    <w:rsid w:val="0043285A"/>
    <w:rsid w:val="004A3F2C"/>
    <w:rsid w:val="00570D3C"/>
    <w:rsid w:val="00590291"/>
    <w:rsid w:val="00632656"/>
    <w:rsid w:val="006E0BC7"/>
    <w:rsid w:val="007A7F95"/>
    <w:rsid w:val="007B4B43"/>
    <w:rsid w:val="007E5703"/>
    <w:rsid w:val="0094713E"/>
    <w:rsid w:val="00986F40"/>
    <w:rsid w:val="009E3EB9"/>
    <w:rsid w:val="00A863DB"/>
    <w:rsid w:val="00B959E8"/>
    <w:rsid w:val="00C3638C"/>
    <w:rsid w:val="00CB1E02"/>
    <w:rsid w:val="00CD6CC5"/>
    <w:rsid w:val="00CE2C3E"/>
    <w:rsid w:val="00E0567B"/>
    <w:rsid w:val="00E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D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63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3D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63D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3D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3D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A863DB"/>
    <w:rPr>
      <w:rFonts w:ascii="Calibri" w:hAnsi="Calibri" w:cs="Times New Roman"/>
    </w:rPr>
  </w:style>
  <w:style w:type="paragraph" w:styleId="NoSpacing">
    <w:name w:val="No Spacing"/>
    <w:uiPriority w:val="1"/>
    <w:qFormat/>
    <w:rsid w:val="00A863DB"/>
    <w:pPr>
      <w:spacing w:after="0" w:line="240" w:lineRule="auto"/>
    </w:pPr>
    <w:rPr>
      <w:rFonts w:ascii="Calibri" w:hAnsi="Calibri" w:cs="Times New Roman"/>
    </w:rPr>
  </w:style>
  <w:style w:type="table" w:styleId="LightGrid-Accent5">
    <w:name w:val="Light Grid Accent 5"/>
    <w:basedOn w:val="TableNormal"/>
    <w:uiPriority w:val="62"/>
    <w:rsid w:val="00A86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D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47E1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7E1C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E1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7E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D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63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3D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63D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3D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3D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A863DB"/>
    <w:rPr>
      <w:rFonts w:ascii="Calibri" w:hAnsi="Calibri" w:cs="Times New Roman"/>
    </w:rPr>
  </w:style>
  <w:style w:type="paragraph" w:styleId="NoSpacing">
    <w:name w:val="No Spacing"/>
    <w:uiPriority w:val="1"/>
    <w:qFormat/>
    <w:rsid w:val="00A863DB"/>
    <w:pPr>
      <w:spacing w:after="0" w:line="240" w:lineRule="auto"/>
    </w:pPr>
    <w:rPr>
      <w:rFonts w:ascii="Calibri" w:hAnsi="Calibri" w:cs="Times New Roman"/>
    </w:rPr>
  </w:style>
  <w:style w:type="table" w:styleId="LightGrid-Accent5">
    <w:name w:val="Light Grid Accent 5"/>
    <w:basedOn w:val="TableNormal"/>
    <w:uiPriority w:val="62"/>
    <w:rsid w:val="00A86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D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47E1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7E1C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E1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7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mb.box.com/s/fwx6yih2390vo5fgd6dy6abj7yp3vwve" TargetMode="External"/><Relationship Id="rId13" Type="http://schemas.openxmlformats.org/officeDocument/2006/relationships/hyperlink" Target="http://bit.ly/comm-meds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bit.ly/KYD-orde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bit.ly/KYD-providers" TargetMode="External"/><Relationship Id="rId25" Type="http://schemas.openxmlformats.org/officeDocument/2006/relationships/hyperlink" Target="http://bit.ly/KYD-orde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t.ly/KYD-providers" TargetMode="External"/><Relationship Id="rId20" Type="http://schemas.openxmlformats.org/officeDocument/2006/relationships/hyperlink" Target="http://bit.ly/KYD-order" TargetMode="External"/><Relationship Id="rId29" Type="http://schemas.openxmlformats.org/officeDocument/2006/relationships/hyperlink" Target="http://www.knowyourdos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KYD-order" TargetMode="External"/><Relationship Id="rId24" Type="http://schemas.openxmlformats.org/officeDocument/2006/relationships/image" Target="media/image6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bit.ly/KYD-providers" TargetMode="External"/><Relationship Id="rId28" Type="http://schemas.openxmlformats.org/officeDocument/2006/relationships/hyperlink" Target="http://www.prnewswire.com/news-releases/one-in-five-americans-do-not-consider-any-key-safety-factors-when-choosing-over-the-counter-pain-relievers-300319189.html" TargetMode="External"/><Relationship Id="rId10" Type="http://schemas.openxmlformats.org/officeDocument/2006/relationships/hyperlink" Target="http://bit.ly/KYD-order" TargetMode="External"/><Relationship Id="rId19" Type="http://schemas.openxmlformats.org/officeDocument/2006/relationships/hyperlink" Target="http://bit.ly/KYD-order" TargetMode="External"/><Relationship Id="rId31" Type="http://schemas.openxmlformats.org/officeDocument/2006/relationships/hyperlink" Target="http://bit.ly/TGiN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it.ly/comm-meds" TargetMode="External"/><Relationship Id="rId22" Type="http://schemas.openxmlformats.org/officeDocument/2006/relationships/hyperlink" Target="http://bit.ly/KYD-providers" TargetMode="External"/><Relationship Id="rId27" Type="http://schemas.openxmlformats.org/officeDocument/2006/relationships/hyperlink" Target="http://journals.ama.org/doi/abs/10.1509/jppm.14.061" TargetMode="External"/><Relationship Id="rId30" Type="http://schemas.openxmlformats.org/officeDocument/2006/relationships/hyperlink" Target="http://www.knowyourdose.org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Jasmine</cp:lastModifiedBy>
  <cp:revision>2</cp:revision>
  <dcterms:created xsi:type="dcterms:W3CDTF">2016-10-28T14:15:00Z</dcterms:created>
  <dcterms:modified xsi:type="dcterms:W3CDTF">2016-10-28T14:15:00Z</dcterms:modified>
</cp:coreProperties>
</file>